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67" w:rsidRPr="003F0267" w:rsidRDefault="003F0267" w:rsidP="003F0267">
      <w:pPr>
        <w:spacing w:after="120" w:line="240" w:lineRule="auto"/>
        <w:jc w:val="center"/>
      </w:pPr>
      <w:r w:rsidRPr="003F0267">
        <w:t>NACD Event Highlights</w:t>
      </w:r>
    </w:p>
    <w:p w:rsidR="003F0267" w:rsidRPr="003F0267" w:rsidRDefault="00F244B5" w:rsidP="003F0267">
      <w:pPr>
        <w:spacing w:after="120" w:line="240" w:lineRule="auto"/>
        <w:jc w:val="center"/>
      </w:pPr>
      <w:r>
        <w:t>November 9</w:t>
      </w:r>
      <w:r w:rsidR="003F0267" w:rsidRPr="003F0267">
        <w:t>, 2010 Breakfast Event</w:t>
      </w:r>
    </w:p>
    <w:p w:rsidR="003F0267" w:rsidRDefault="00F244B5" w:rsidP="00F244B5">
      <w:pPr>
        <w:spacing w:after="0" w:line="240" w:lineRule="auto"/>
        <w:jc w:val="center"/>
        <w:rPr>
          <w:i/>
        </w:rPr>
      </w:pPr>
      <w:r>
        <w:rPr>
          <w:i/>
        </w:rPr>
        <w:t>Board-Shareholder Communications:  Speak Now or Forever Wish You Had</w:t>
      </w:r>
    </w:p>
    <w:p w:rsidR="00F244B5" w:rsidRDefault="00F244B5" w:rsidP="00F244B5">
      <w:pPr>
        <w:spacing w:after="0" w:line="240" w:lineRule="auto"/>
        <w:jc w:val="center"/>
        <w:rPr>
          <w:i/>
        </w:rPr>
      </w:pPr>
    </w:p>
    <w:p w:rsidR="00240BFF" w:rsidRDefault="00F558BE" w:rsidP="005E36F1">
      <w:pPr>
        <w:rPr>
          <w:i/>
        </w:rPr>
      </w:pPr>
      <w:r>
        <w:rPr>
          <w:i/>
        </w:rPr>
        <w:t xml:space="preserve">Sarbanes Oxley, </w:t>
      </w:r>
      <w:r w:rsidR="00240BFF">
        <w:rPr>
          <w:i/>
        </w:rPr>
        <w:t>Dodd-Frank and</w:t>
      </w:r>
      <w:r>
        <w:rPr>
          <w:i/>
        </w:rPr>
        <w:t xml:space="preserve"> a round of upcoming SEC rulemakings will likely lead to an even more federalized and politicized corporate governance environment going forward.  Two kinds of activists tend to flourish under these conditions.  One group is the labor unions and state pension funds that treat corporate governance as a political process and focus on public issues like executive compensation.  The other group is </w:t>
      </w:r>
      <w:r w:rsidR="008517C9">
        <w:rPr>
          <w:i/>
        </w:rPr>
        <w:t xml:space="preserve">the </w:t>
      </w:r>
      <w:r>
        <w:rPr>
          <w:i/>
        </w:rPr>
        <w:t>hedge funds and corporations that</w:t>
      </w:r>
      <w:r w:rsidR="008517C9">
        <w:rPr>
          <w:i/>
        </w:rPr>
        <w:t xml:space="preserve"> are </w:t>
      </w:r>
      <w:r>
        <w:rPr>
          <w:i/>
        </w:rPr>
        <w:t>tak</w:t>
      </w:r>
      <w:r w:rsidR="008517C9">
        <w:rPr>
          <w:i/>
        </w:rPr>
        <w:t>ing</w:t>
      </w:r>
      <w:r>
        <w:rPr>
          <w:i/>
        </w:rPr>
        <w:t xml:space="preserve"> advantage of the current climate in pushing for a higher degree of control – ranging from seats on the board, to getting involved in a transaction with the goal of driving up the share price, to targeting companies for takeover.</w:t>
      </w:r>
    </w:p>
    <w:p w:rsidR="005E36F1" w:rsidRDefault="005E36F1" w:rsidP="005E36F1">
      <w:r>
        <w:t>—</w:t>
      </w:r>
      <w:r w:rsidR="00F558BE" w:rsidRPr="00F558BE">
        <w:t xml:space="preserve"> Louis A. Goodman, </w:t>
      </w:r>
      <w:proofErr w:type="spellStart"/>
      <w:r w:rsidR="00F558BE" w:rsidRPr="00F558BE">
        <w:t>Skadden</w:t>
      </w:r>
      <w:proofErr w:type="spellEnd"/>
      <w:r w:rsidR="00F558BE" w:rsidRPr="00F558BE">
        <w:t xml:space="preserve">, </w:t>
      </w:r>
      <w:proofErr w:type="spellStart"/>
      <w:r w:rsidR="00F558BE" w:rsidRPr="00F558BE">
        <w:t>Arps</w:t>
      </w:r>
      <w:proofErr w:type="spellEnd"/>
      <w:r w:rsidR="00F558BE" w:rsidRPr="00F558BE">
        <w:t xml:space="preserve">, Slate, Meagher &amp; </w:t>
      </w:r>
      <w:proofErr w:type="spellStart"/>
      <w:r w:rsidR="00F558BE" w:rsidRPr="00F558BE">
        <w:t>Flom</w:t>
      </w:r>
      <w:proofErr w:type="spellEnd"/>
      <w:r w:rsidR="00F558BE" w:rsidRPr="00F558BE">
        <w:t xml:space="preserve"> LLP</w:t>
      </w:r>
      <w:r w:rsidR="00240BFF">
        <w:t xml:space="preserve"> </w:t>
      </w:r>
      <w:r>
        <w:t xml:space="preserve"> </w:t>
      </w:r>
    </w:p>
    <w:p w:rsidR="00240BFF" w:rsidRPr="00D13495" w:rsidRDefault="00240BFF" w:rsidP="00084FE7">
      <w:pPr>
        <w:pStyle w:val="ListParagraph"/>
        <w:numPr>
          <w:ilvl w:val="0"/>
          <w:numId w:val="20"/>
        </w:numPr>
        <w:spacing w:after="120"/>
        <w:contextualSpacing w:val="0"/>
        <w:rPr>
          <w:rFonts w:ascii="Calibri" w:eastAsia="Times New Roman" w:hAnsi="Calibri" w:cs="Times New Roman"/>
          <w:color w:val="000000"/>
        </w:rPr>
      </w:pPr>
      <w:r w:rsidRPr="00D13495">
        <w:rPr>
          <w:rFonts w:ascii="Calibri" w:eastAsia="Times New Roman" w:hAnsi="Calibri" w:cs="Times New Roman"/>
          <w:color w:val="000000"/>
        </w:rPr>
        <w:t>Wh</w:t>
      </w:r>
      <w:r w:rsidR="00300C6E">
        <w:rPr>
          <w:rFonts w:ascii="Calibri" w:eastAsia="Times New Roman" w:hAnsi="Calibri" w:cs="Times New Roman"/>
          <w:color w:val="000000"/>
        </w:rPr>
        <w:t>y is shareholder activism likely to escalate in 2011?</w:t>
      </w:r>
    </w:p>
    <w:p w:rsidR="00B725D2" w:rsidRPr="00B725D2" w:rsidRDefault="00300C6E" w:rsidP="00300C6E">
      <w:pPr>
        <w:pStyle w:val="ListParagraph"/>
        <w:numPr>
          <w:ilvl w:val="0"/>
          <w:numId w:val="20"/>
        </w:numPr>
        <w:spacing w:after="120"/>
        <w:contextualSpacing w:val="0"/>
        <w:rPr>
          <w:rFonts w:ascii="Times New Roman" w:eastAsia="Times New Roman" w:hAnsi="Times New Roman" w:cs="Times New Roman"/>
          <w:color w:val="000000"/>
        </w:rPr>
      </w:pPr>
      <w:r w:rsidRPr="00B725D2">
        <w:rPr>
          <w:rFonts w:ascii="Calibri" w:eastAsia="Times New Roman" w:hAnsi="Calibri" w:cs="Times New Roman"/>
          <w:color w:val="000000"/>
        </w:rPr>
        <w:t xml:space="preserve">How can </w:t>
      </w:r>
      <w:r w:rsidR="00783989" w:rsidRPr="00B725D2">
        <w:rPr>
          <w:rFonts w:ascii="Calibri" w:eastAsia="Times New Roman" w:hAnsi="Calibri" w:cs="Times New Roman"/>
          <w:color w:val="000000"/>
        </w:rPr>
        <w:t xml:space="preserve">proactive </w:t>
      </w:r>
      <w:r w:rsidRPr="00B725D2">
        <w:rPr>
          <w:rFonts w:ascii="Calibri" w:eastAsia="Times New Roman" w:hAnsi="Calibri" w:cs="Times New Roman"/>
          <w:color w:val="000000"/>
        </w:rPr>
        <w:t>board</w:t>
      </w:r>
      <w:r w:rsidR="00783989" w:rsidRPr="00B725D2">
        <w:rPr>
          <w:rFonts w:ascii="Calibri" w:eastAsia="Times New Roman" w:hAnsi="Calibri" w:cs="Times New Roman"/>
          <w:color w:val="000000"/>
        </w:rPr>
        <w:t>–shareholder communication</w:t>
      </w:r>
      <w:r w:rsidRPr="00B725D2">
        <w:rPr>
          <w:rFonts w:ascii="Calibri" w:eastAsia="Times New Roman" w:hAnsi="Calibri" w:cs="Times New Roman"/>
          <w:color w:val="000000"/>
        </w:rPr>
        <w:t xml:space="preserve">s make companies less vulnerable </w:t>
      </w:r>
      <w:r w:rsidR="00B725D2" w:rsidRPr="00B725D2">
        <w:rPr>
          <w:rFonts w:ascii="Calibri" w:eastAsia="Times New Roman" w:hAnsi="Calibri" w:cs="Times New Roman"/>
          <w:color w:val="000000"/>
        </w:rPr>
        <w:t xml:space="preserve">to </w:t>
      </w:r>
      <w:r w:rsidR="00B725D2">
        <w:rPr>
          <w:rFonts w:ascii="Calibri" w:eastAsia="Times New Roman" w:hAnsi="Calibri" w:cs="Times New Roman"/>
          <w:color w:val="000000"/>
        </w:rPr>
        <w:t>activists?</w:t>
      </w:r>
    </w:p>
    <w:p w:rsidR="00300C6E" w:rsidRPr="00B725D2" w:rsidRDefault="00300C6E" w:rsidP="00300C6E">
      <w:pPr>
        <w:pStyle w:val="ListParagraph"/>
        <w:numPr>
          <w:ilvl w:val="0"/>
          <w:numId w:val="20"/>
        </w:numPr>
        <w:spacing w:after="120"/>
        <w:contextualSpacing w:val="0"/>
        <w:rPr>
          <w:rFonts w:ascii="Times New Roman" w:eastAsia="Times New Roman" w:hAnsi="Times New Roman" w:cs="Times New Roman"/>
          <w:color w:val="000000"/>
        </w:rPr>
      </w:pPr>
      <w:r w:rsidRPr="00B725D2">
        <w:rPr>
          <w:rFonts w:ascii="Calibri" w:eastAsia="Times New Roman" w:hAnsi="Calibri" w:cs="Times New Roman"/>
          <w:color w:val="000000"/>
        </w:rPr>
        <w:t xml:space="preserve">What </w:t>
      </w:r>
      <w:r w:rsidR="00783989" w:rsidRPr="00B725D2">
        <w:rPr>
          <w:rFonts w:ascii="Calibri" w:eastAsia="Times New Roman" w:hAnsi="Calibri" w:cs="Times New Roman"/>
          <w:color w:val="000000"/>
        </w:rPr>
        <w:t xml:space="preserve">communications </w:t>
      </w:r>
      <w:r w:rsidR="00F558BE" w:rsidRPr="00B725D2">
        <w:rPr>
          <w:rFonts w:ascii="Calibri" w:eastAsia="Times New Roman" w:hAnsi="Calibri" w:cs="Times New Roman"/>
          <w:color w:val="000000"/>
        </w:rPr>
        <w:t xml:space="preserve">tactics </w:t>
      </w:r>
      <w:r w:rsidRPr="00B725D2">
        <w:rPr>
          <w:rFonts w:ascii="Calibri" w:eastAsia="Times New Roman" w:hAnsi="Calibri" w:cs="Times New Roman"/>
          <w:color w:val="000000"/>
        </w:rPr>
        <w:t xml:space="preserve">should boards </w:t>
      </w:r>
      <w:r w:rsidR="007E2314" w:rsidRPr="00B725D2">
        <w:rPr>
          <w:rFonts w:ascii="Calibri" w:eastAsia="Times New Roman" w:hAnsi="Calibri" w:cs="Times New Roman"/>
          <w:color w:val="000000"/>
        </w:rPr>
        <w:t xml:space="preserve">use </w:t>
      </w:r>
      <w:r w:rsidR="00783989" w:rsidRPr="00B725D2">
        <w:rPr>
          <w:rFonts w:ascii="Calibri" w:eastAsia="Times New Roman" w:hAnsi="Calibri" w:cs="Times New Roman"/>
          <w:color w:val="000000"/>
        </w:rPr>
        <w:t>i</w:t>
      </w:r>
      <w:r w:rsidRPr="00B725D2">
        <w:rPr>
          <w:rFonts w:ascii="Calibri" w:eastAsia="Times New Roman" w:hAnsi="Calibri" w:cs="Times New Roman"/>
          <w:color w:val="000000"/>
        </w:rPr>
        <w:t>n respon</w:t>
      </w:r>
      <w:r w:rsidR="00B725D2">
        <w:rPr>
          <w:rFonts w:ascii="Calibri" w:eastAsia="Times New Roman" w:hAnsi="Calibri" w:cs="Times New Roman"/>
          <w:color w:val="000000"/>
        </w:rPr>
        <w:t>ding</w:t>
      </w:r>
      <w:r w:rsidRPr="00B725D2">
        <w:rPr>
          <w:rFonts w:ascii="Calibri" w:eastAsia="Times New Roman" w:hAnsi="Calibri" w:cs="Times New Roman"/>
          <w:color w:val="000000"/>
        </w:rPr>
        <w:t xml:space="preserve"> to activist proposals?</w:t>
      </w:r>
    </w:p>
    <w:p w:rsidR="008517C9" w:rsidRDefault="00F12033" w:rsidP="00300C6E">
      <w:pPr>
        <w:spacing w:before="240" w:after="120"/>
        <w:rPr>
          <w:rFonts w:ascii="Calibri" w:eastAsia="Times New Roman" w:hAnsi="Calibri" w:cs="Times New Roman"/>
          <w:color w:val="000000"/>
        </w:rPr>
      </w:pPr>
      <w:r>
        <w:rPr>
          <w:rFonts w:ascii="Calibri" w:eastAsia="Times New Roman" w:hAnsi="Calibri" w:cs="Times New Roman"/>
          <w:color w:val="000000"/>
        </w:rPr>
        <w:t>Answering a range of questions such as these, t</w:t>
      </w:r>
      <w:r w:rsidR="00B725D2">
        <w:rPr>
          <w:rFonts w:ascii="Calibri" w:eastAsia="Times New Roman" w:hAnsi="Calibri" w:cs="Times New Roman"/>
          <w:color w:val="000000"/>
        </w:rPr>
        <w:t xml:space="preserve">he panelists at </w:t>
      </w:r>
      <w:r w:rsidR="00240BFF" w:rsidRPr="00300C6E">
        <w:rPr>
          <w:rFonts w:ascii="Calibri" w:eastAsia="Times New Roman" w:hAnsi="Calibri" w:cs="Times New Roman"/>
          <w:color w:val="000000"/>
        </w:rPr>
        <w:t xml:space="preserve">NACD New England’s </w:t>
      </w:r>
      <w:r w:rsidR="00B725D2">
        <w:rPr>
          <w:rFonts w:ascii="Calibri" w:eastAsia="Times New Roman" w:hAnsi="Calibri" w:cs="Times New Roman"/>
          <w:color w:val="000000"/>
        </w:rPr>
        <w:t>November 9</w:t>
      </w:r>
      <w:r w:rsidR="00240BFF" w:rsidRPr="00300C6E">
        <w:rPr>
          <w:rFonts w:ascii="Calibri" w:eastAsia="Times New Roman" w:hAnsi="Calibri" w:cs="Times New Roman"/>
          <w:color w:val="000000"/>
        </w:rPr>
        <w:t xml:space="preserve">, 2010 </w:t>
      </w:r>
      <w:r w:rsidR="00B725D2">
        <w:rPr>
          <w:rFonts w:ascii="Calibri" w:eastAsia="Times New Roman" w:hAnsi="Calibri" w:cs="Times New Roman"/>
          <w:color w:val="000000"/>
        </w:rPr>
        <w:t xml:space="preserve">Breakfast Event voiced diverse and provocative opinions on the topic of board-shareholder communications in an increasingly pro-activist environment.  </w:t>
      </w:r>
    </w:p>
    <w:p w:rsidR="006579DA" w:rsidRDefault="006579DA" w:rsidP="00300C6E">
      <w:pPr>
        <w:spacing w:before="240" w:after="120"/>
        <w:rPr>
          <w:rFonts w:ascii="Calibri" w:eastAsia="Times New Roman" w:hAnsi="Calibri" w:cs="Times New Roman"/>
          <w:color w:val="000000"/>
        </w:rPr>
      </w:pPr>
      <w:r>
        <w:rPr>
          <w:rFonts w:ascii="Calibri" w:eastAsia="Times New Roman" w:hAnsi="Calibri" w:cs="Times New Roman"/>
          <w:color w:val="000000"/>
        </w:rPr>
        <w:t xml:space="preserve">Moderating the panel discussion was Maureen T. Wolff, president of Sharon Merrill Associates, a Boston-based critical communications consulting firm focused on investor relations, reputation and issues management, and crisis and transaction communications.  Wolff is a past chairman and board member of the National Investor Relations Institute (NIRI) and a frequent speaker on IR issues including shareholder activism and board-shareholder communications.  </w:t>
      </w:r>
    </w:p>
    <w:p w:rsidR="008517C9" w:rsidRDefault="0034784A" w:rsidP="00300C6E">
      <w:pPr>
        <w:spacing w:before="240" w:after="120"/>
        <w:rPr>
          <w:rFonts w:ascii="Calibri" w:eastAsia="Times New Roman" w:hAnsi="Calibri" w:cs="Times New Roman"/>
          <w:color w:val="000000"/>
        </w:rPr>
      </w:pPr>
      <w:r>
        <w:rPr>
          <w:rFonts w:ascii="Calibri" w:eastAsia="Times New Roman" w:hAnsi="Calibri" w:cs="Times New Roman"/>
          <w:color w:val="000000"/>
        </w:rPr>
        <w:t xml:space="preserve">Setting the stage for the panel, </w:t>
      </w:r>
      <w:r w:rsidR="006579DA">
        <w:rPr>
          <w:rFonts w:ascii="Calibri" w:eastAsia="Times New Roman" w:hAnsi="Calibri" w:cs="Times New Roman"/>
          <w:color w:val="000000"/>
        </w:rPr>
        <w:t xml:space="preserve">Wolff </w:t>
      </w:r>
      <w:r>
        <w:rPr>
          <w:rFonts w:ascii="Calibri" w:eastAsia="Times New Roman" w:hAnsi="Calibri" w:cs="Times New Roman"/>
          <w:color w:val="000000"/>
        </w:rPr>
        <w:t>identified three key board communications issues:  1) Proxy Access, 2) Say on Pay, and 3)</w:t>
      </w:r>
      <w:r w:rsidR="00F12033">
        <w:rPr>
          <w:rFonts w:ascii="Calibri" w:eastAsia="Times New Roman" w:hAnsi="Calibri" w:cs="Times New Roman"/>
          <w:color w:val="000000"/>
        </w:rPr>
        <w:t xml:space="preserve"> the outlook for </w:t>
      </w:r>
      <w:r>
        <w:rPr>
          <w:rFonts w:ascii="Calibri" w:eastAsia="Times New Roman" w:hAnsi="Calibri" w:cs="Times New Roman"/>
          <w:color w:val="000000"/>
        </w:rPr>
        <w:t>increased shareholder activism in 2011</w:t>
      </w:r>
      <w:r w:rsidR="00F12033">
        <w:rPr>
          <w:rFonts w:ascii="Calibri" w:eastAsia="Times New Roman" w:hAnsi="Calibri" w:cs="Times New Roman"/>
          <w:color w:val="000000"/>
        </w:rPr>
        <w:t>,</w:t>
      </w:r>
      <w:r>
        <w:rPr>
          <w:rFonts w:ascii="Calibri" w:eastAsia="Times New Roman" w:hAnsi="Calibri" w:cs="Times New Roman"/>
          <w:color w:val="000000"/>
        </w:rPr>
        <w:t xml:space="preserve"> as compared with a relatively quiet 2010.  She discussed the potential triggers for activism, ranging from financial concerns such as poor stock price performance, to governance issues – takeover defenses and board entrenchment chief among them – to strategic issues related to asset sales or acquisitions.  </w:t>
      </w:r>
    </w:p>
    <w:p w:rsidR="008D63BA" w:rsidRDefault="0034784A" w:rsidP="00300C6E">
      <w:pPr>
        <w:spacing w:before="240" w:after="120"/>
        <w:rPr>
          <w:rFonts w:ascii="Calibri" w:eastAsia="Times New Roman" w:hAnsi="Calibri" w:cs="Times New Roman"/>
          <w:color w:val="000000"/>
        </w:rPr>
      </w:pPr>
      <w:r>
        <w:rPr>
          <w:rFonts w:ascii="Calibri" w:eastAsia="Times New Roman" w:hAnsi="Calibri" w:cs="Times New Roman"/>
          <w:color w:val="000000"/>
        </w:rPr>
        <w:t xml:space="preserve">Wolff </w:t>
      </w:r>
      <w:r w:rsidR="008517C9">
        <w:rPr>
          <w:rFonts w:ascii="Calibri" w:eastAsia="Times New Roman" w:hAnsi="Calibri" w:cs="Times New Roman"/>
          <w:color w:val="000000"/>
        </w:rPr>
        <w:t xml:space="preserve">then </w:t>
      </w:r>
      <w:r>
        <w:rPr>
          <w:rFonts w:ascii="Calibri" w:eastAsia="Times New Roman" w:hAnsi="Calibri" w:cs="Times New Roman"/>
          <w:color w:val="000000"/>
        </w:rPr>
        <w:t>discussed the concerns frequently voiced by corporate directors as they prepare for shareholder communications initiatives, outlined the benefits of proactive board-shareholder dialogue, and concluded her introductory comments with suggestions for developing effective shareholder communications capabilities at the board level.</w:t>
      </w:r>
      <w:r w:rsidR="00783682">
        <w:rPr>
          <w:rFonts w:ascii="Calibri" w:eastAsia="Times New Roman" w:hAnsi="Calibri" w:cs="Times New Roman"/>
          <w:color w:val="000000"/>
        </w:rPr>
        <w:t xml:space="preserve">  The key, she said, is to understand </w:t>
      </w:r>
      <w:r w:rsidR="00F12033">
        <w:rPr>
          <w:rFonts w:ascii="Calibri" w:eastAsia="Times New Roman" w:hAnsi="Calibri" w:cs="Times New Roman"/>
          <w:color w:val="000000"/>
        </w:rPr>
        <w:t xml:space="preserve">the company’s </w:t>
      </w:r>
      <w:r w:rsidR="00783682">
        <w:rPr>
          <w:rFonts w:ascii="Calibri" w:eastAsia="Times New Roman" w:hAnsi="Calibri" w:cs="Times New Roman"/>
          <w:color w:val="000000"/>
        </w:rPr>
        <w:t>shareholder base and continually monitor the company’s performance in areas that are likely to be triggers for activism.</w:t>
      </w:r>
    </w:p>
    <w:p w:rsidR="00466262" w:rsidRDefault="00466262" w:rsidP="000A3A0A">
      <w:r>
        <w:t xml:space="preserve">Kicking off the panel was Louis </w:t>
      </w:r>
      <w:r w:rsidRPr="00F558BE">
        <w:t xml:space="preserve">A. </w:t>
      </w:r>
      <w:r>
        <w:t xml:space="preserve">Goodman, a senior partner specializing in corporate, securities and finance law in the Boston office of </w:t>
      </w:r>
      <w:proofErr w:type="spellStart"/>
      <w:r w:rsidRPr="00F558BE">
        <w:t>Skadden</w:t>
      </w:r>
      <w:proofErr w:type="spellEnd"/>
      <w:r w:rsidRPr="00F558BE">
        <w:t xml:space="preserve">, </w:t>
      </w:r>
      <w:proofErr w:type="spellStart"/>
      <w:r w:rsidRPr="00F558BE">
        <w:t>Arps</w:t>
      </w:r>
      <w:proofErr w:type="spellEnd"/>
      <w:r w:rsidRPr="00F558BE">
        <w:t xml:space="preserve">, Slate, </w:t>
      </w:r>
      <w:proofErr w:type="gramStart"/>
      <w:r w:rsidRPr="00F558BE">
        <w:t>Meagher</w:t>
      </w:r>
      <w:proofErr w:type="gramEnd"/>
      <w:r w:rsidRPr="00F558BE">
        <w:t xml:space="preserve"> &amp; </w:t>
      </w:r>
      <w:proofErr w:type="spellStart"/>
      <w:r w:rsidRPr="00F558BE">
        <w:t>Flom</w:t>
      </w:r>
      <w:proofErr w:type="spellEnd"/>
      <w:r w:rsidRPr="00F558BE">
        <w:t xml:space="preserve"> LLP</w:t>
      </w:r>
      <w:r>
        <w:t>.  Goodman works on a wide range of corporate matters, from restructurings, financings and acquisitions to white collar criminal defense.  He frequently represents large companies involved in mergers and acquisitions, as well as start-up companies and investors in smaller transactions.  Recently, he successfully defended TravelCenters of America LLC and RMR Hospitality and Real Estate Fund in two separate proxy contests brough</w:t>
      </w:r>
      <w:r w:rsidR="00433E74">
        <w:t>t</w:t>
      </w:r>
      <w:r>
        <w:t xml:space="preserve"> on by activist hedge funds. </w:t>
      </w:r>
    </w:p>
    <w:p w:rsidR="004346FC" w:rsidRDefault="004346FC" w:rsidP="000A3A0A">
      <w:r>
        <w:t>Goodman opened by reviewing the current corporate governance environment, which he characterized as becoming increasingly “federalized” in the aftermath of the Sarbanes Oxley and Dodd-Frank Acts and with a large number of new SEC rulemakings</w:t>
      </w:r>
      <w:r w:rsidR="00466262">
        <w:t xml:space="preserve"> </w:t>
      </w:r>
      <w:r>
        <w:t xml:space="preserve">in the offing. Echoing Wolff’s comments on the modest level of shareholder activity in 2010, he observed that of the thousands of exchange-listed public companies, according to Institutional Shareholder Services (ISS) only 88 directors have failed to win majority support – down from 93 for the same period in 2009.  </w:t>
      </w:r>
    </w:p>
    <w:p w:rsidR="007E6718" w:rsidRDefault="004346FC" w:rsidP="000A3A0A">
      <w:r>
        <w:t xml:space="preserve">Goodman then outlined the reasons why he believes </w:t>
      </w:r>
      <w:r w:rsidR="00F12033">
        <w:t xml:space="preserve">shareholder activism will escalate in 2011 and subsequent </w:t>
      </w:r>
      <w:r>
        <w:t xml:space="preserve">years.  </w:t>
      </w:r>
      <w:r w:rsidR="00433E74">
        <w:t xml:space="preserve">Along with </w:t>
      </w:r>
      <w:r>
        <w:t>the SEC’s upcoming comprehensive review of the U.S. proxy system, the agency has proposed new rules related to Say on Pay, and the SEC’s current stay on its recent rule related to Proxy Access could be lifted at some point – perhaps in time for the 2012 proxy season for most companies</w:t>
      </w:r>
      <w:r w:rsidR="00F12033">
        <w:t>, he said</w:t>
      </w:r>
      <w:r>
        <w:t xml:space="preserve">. </w:t>
      </w:r>
    </w:p>
    <w:p w:rsidR="004346FC" w:rsidRDefault="00433E74" w:rsidP="000A3A0A">
      <w:r>
        <w:t xml:space="preserve">In addition, the Dodd-Frank Act will significantly change the corporate governance landscape, </w:t>
      </w:r>
      <w:r w:rsidR="007E6718">
        <w:t>Goodman s</w:t>
      </w:r>
      <w:r>
        <w:t xml:space="preserve">aid.  </w:t>
      </w:r>
      <w:r w:rsidR="002A0F46">
        <w:t xml:space="preserve">Dodd-Frank </w:t>
      </w:r>
      <w:r>
        <w:t xml:space="preserve">contains provisions related to Say on Pay, enhanced independence for compensation committees, additional executive compensation disclosures, </w:t>
      </w:r>
      <w:proofErr w:type="spellStart"/>
      <w:r>
        <w:t>clawback</w:t>
      </w:r>
      <w:proofErr w:type="spellEnd"/>
      <w:r>
        <w:t xml:space="preserve"> policies and enhanced rewards for corporate whistleblowers.</w:t>
      </w:r>
      <w:r w:rsidR="002A0F46">
        <w:t xml:space="preserve">  </w:t>
      </w:r>
      <w:r w:rsidR="00F12033">
        <w:t>He</w:t>
      </w:r>
      <w:r w:rsidR="002A0F46">
        <w:t xml:space="preserve"> concluded his prepared remarks with a set of action-item recommendations for boards in preparation for this new governance environment.</w:t>
      </w:r>
    </w:p>
    <w:p w:rsidR="004346FC" w:rsidRDefault="007E6718" w:rsidP="000A3A0A">
      <w:r>
        <w:t xml:space="preserve">Following Goodman was Fred K. </w:t>
      </w:r>
      <w:proofErr w:type="spellStart"/>
      <w:r>
        <w:t>Foulkes</w:t>
      </w:r>
      <w:proofErr w:type="spellEnd"/>
      <w:r>
        <w:t xml:space="preserve">, Ph.D., a director of </w:t>
      </w:r>
      <w:proofErr w:type="spellStart"/>
      <w:r>
        <w:t>Panera</w:t>
      </w:r>
      <w:proofErr w:type="spellEnd"/>
      <w:r>
        <w:t xml:space="preserve"> Bread</w:t>
      </w:r>
      <w:r w:rsidR="00E303CB">
        <w:t xml:space="preserve"> </w:t>
      </w:r>
      <w:r>
        <w:t xml:space="preserve">since 2003 and currently a member of </w:t>
      </w:r>
      <w:r w:rsidR="00F12033">
        <w:t xml:space="preserve">three of the </w:t>
      </w:r>
      <w:r>
        <w:t>company’s board committees:  audit</w:t>
      </w:r>
      <w:r w:rsidR="007B1FE4">
        <w:t xml:space="preserve">; </w:t>
      </w:r>
      <w:r>
        <w:t xml:space="preserve">compensation and management development; </w:t>
      </w:r>
      <w:r w:rsidR="007B1FE4">
        <w:t xml:space="preserve">and nominations and corporate governance.  </w:t>
      </w:r>
      <w:proofErr w:type="spellStart"/>
      <w:r w:rsidR="007B1FE4">
        <w:t>Foulkes</w:t>
      </w:r>
      <w:proofErr w:type="spellEnd"/>
      <w:r w:rsidR="007B1FE4">
        <w:t xml:space="preserve"> is a professor of organizational behavior and the Director of the Human Resources Policy Institute at Boston University School of Management, and has taught courses in human resources management and strategic management at Boston University since 1980.  He formerly was a member of the faculty at Harvard Business School and </w:t>
      </w:r>
      <w:r w:rsidR="00685EC3">
        <w:t>several</w:t>
      </w:r>
      <w:r w:rsidR="007B1FE4">
        <w:t xml:space="preserve"> corporate and nonprofit boards of directors.</w:t>
      </w:r>
    </w:p>
    <w:p w:rsidR="002D73C6" w:rsidRDefault="00685EC3" w:rsidP="000A3A0A">
      <w:proofErr w:type="spellStart"/>
      <w:r w:rsidRPr="00685EC3">
        <w:t>Foulkes</w:t>
      </w:r>
      <w:proofErr w:type="spellEnd"/>
      <w:r w:rsidRPr="00685EC3">
        <w:t xml:space="preserve"> delivered a fascinating case study on the value of board-shareholder dialogue in recounting his experiences as a director when </w:t>
      </w:r>
      <w:proofErr w:type="spellStart"/>
      <w:r w:rsidRPr="00685EC3">
        <w:t>Panera</w:t>
      </w:r>
      <w:proofErr w:type="spellEnd"/>
      <w:r w:rsidRPr="00685EC3">
        <w:t xml:space="preserve"> Bread </w:t>
      </w:r>
      <w:r w:rsidR="002D73C6">
        <w:t xml:space="preserve">was surprised by </w:t>
      </w:r>
      <w:r w:rsidR="00F12033">
        <w:t>a</w:t>
      </w:r>
      <w:r w:rsidR="002D73C6">
        <w:t xml:space="preserve"> public announcement by the Disney family’s Shamrock Holdings that it was accumulating shares in the company.  </w:t>
      </w:r>
      <w:r w:rsidR="009F3ACF">
        <w:t xml:space="preserve">He detailed the </w:t>
      </w:r>
      <w:r w:rsidR="002D73C6">
        <w:t xml:space="preserve">actions </w:t>
      </w:r>
      <w:r w:rsidR="009F3ACF">
        <w:t xml:space="preserve">taken by </w:t>
      </w:r>
      <w:r w:rsidR="00F12033">
        <w:t xml:space="preserve">the </w:t>
      </w:r>
      <w:proofErr w:type="spellStart"/>
      <w:r w:rsidR="00F12033">
        <w:t>Panera</w:t>
      </w:r>
      <w:proofErr w:type="spellEnd"/>
      <w:r w:rsidR="00F12033">
        <w:t xml:space="preserve"> Bread </w:t>
      </w:r>
      <w:r w:rsidR="009F3ACF">
        <w:t xml:space="preserve">management and the board to gain a better understanding of </w:t>
      </w:r>
      <w:r w:rsidR="002D73C6">
        <w:t xml:space="preserve">Shamrock’s intentions.  These steps included personal visits to Shamrock’s offices by </w:t>
      </w:r>
      <w:proofErr w:type="spellStart"/>
      <w:r w:rsidR="002D73C6">
        <w:t>Panera’s</w:t>
      </w:r>
      <w:proofErr w:type="spellEnd"/>
      <w:r w:rsidR="002D73C6">
        <w:t xml:space="preserve"> CEO and CFO, corresponding visits by Shamrock executives to </w:t>
      </w:r>
      <w:proofErr w:type="spellStart"/>
      <w:r w:rsidR="002D73C6">
        <w:t>Panera’s</w:t>
      </w:r>
      <w:proofErr w:type="spellEnd"/>
      <w:r w:rsidR="002D73C6">
        <w:t xml:space="preserve"> headquarters and operating locations, as well as face-to-face meetings involving the investor and </w:t>
      </w:r>
      <w:proofErr w:type="spellStart"/>
      <w:r w:rsidR="002D73C6">
        <w:t>Panera</w:t>
      </w:r>
      <w:proofErr w:type="spellEnd"/>
      <w:r w:rsidR="002D73C6">
        <w:t xml:space="preserve"> directors. </w:t>
      </w:r>
    </w:p>
    <w:p w:rsidR="00685EC3" w:rsidRDefault="002D73C6" w:rsidP="000A3A0A">
      <w:r>
        <w:t xml:space="preserve">As a result of this intensive dialogue, </w:t>
      </w:r>
      <w:proofErr w:type="spellStart"/>
      <w:r>
        <w:t>Panera’s</w:t>
      </w:r>
      <w:proofErr w:type="spellEnd"/>
      <w:r>
        <w:t xml:space="preserve"> management and board not only learned how Shamrock viewed the company and its performance, but also clarified the investor’s agenda.  This agenda included governance and operational changes including board declassification, separation of the roles of chairman and CEO, conversion of Class B </w:t>
      </w:r>
      <w:proofErr w:type="spellStart"/>
      <w:r>
        <w:t>supervoting</w:t>
      </w:r>
      <w:proofErr w:type="spellEnd"/>
      <w:r>
        <w:t xml:space="preserve"> shares, addition of new board members with industry operating experience, </w:t>
      </w:r>
      <w:r w:rsidR="00F12033">
        <w:t xml:space="preserve">and </w:t>
      </w:r>
      <w:r>
        <w:t>a range of pricing</w:t>
      </w:r>
      <w:r w:rsidR="00D35DF4">
        <w:t>, franchising</w:t>
      </w:r>
      <w:r>
        <w:t xml:space="preserve"> and market competitiveness measures, as well as a stock repurchase program.   </w:t>
      </w:r>
    </w:p>
    <w:p w:rsidR="00A1260F" w:rsidRDefault="00A1260F" w:rsidP="000A3A0A">
      <w:r>
        <w:t xml:space="preserve">According to </w:t>
      </w:r>
      <w:proofErr w:type="spellStart"/>
      <w:r>
        <w:t>Foulkes</w:t>
      </w:r>
      <w:proofErr w:type="spellEnd"/>
      <w:r>
        <w:t xml:space="preserve">, the </w:t>
      </w:r>
      <w:proofErr w:type="spellStart"/>
      <w:r>
        <w:t>Panera</w:t>
      </w:r>
      <w:proofErr w:type="spellEnd"/>
      <w:r>
        <w:t xml:space="preserve"> Bread management and board had been considering a number of these changes prior to Shamrock’s announcement, including the addition of two new board seats and the establishment of the new position of lead director.  These changes were approved by shareholders at the company’s spring 2008 annual meeting. By the fall of 2008, and after a significant jump in the company’s market valuation, Shamrock had exited its entire position in </w:t>
      </w:r>
      <w:proofErr w:type="spellStart"/>
      <w:r>
        <w:t>Panera</w:t>
      </w:r>
      <w:proofErr w:type="spellEnd"/>
      <w:r>
        <w:t xml:space="preserve"> Bread.  </w:t>
      </w:r>
      <w:proofErr w:type="spellStart"/>
      <w:r>
        <w:t>Faulkes</w:t>
      </w:r>
      <w:proofErr w:type="spellEnd"/>
      <w:r>
        <w:t xml:space="preserve"> concluded his remarks by emphasizing how open and honest communications with the dissident investor led to mutually positive outcomes.</w:t>
      </w:r>
    </w:p>
    <w:p w:rsidR="002D7A6A" w:rsidRDefault="00604AB4" w:rsidP="000A3A0A">
      <w:r>
        <w:t>Picking up on the theme of stakeholder outcomes was panelist Fletcher H. “Flash” Wiley</w:t>
      </w:r>
      <w:r w:rsidR="00A252E7">
        <w:t xml:space="preserve">, a member of The TJX Companies, Inc. board since 1990 and currently a member of the of the audit and corporate governance committees.  A former executive vice president and general counsel of PRWT Services, Inc., a technology-oriented products and services firm, Wiley has been “Of Counsel” to the law firm of Bingham </w:t>
      </w:r>
      <w:proofErr w:type="spellStart"/>
      <w:r w:rsidR="00A252E7">
        <w:t>McCutchen</w:t>
      </w:r>
      <w:proofErr w:type="spellEnd"/>
      <w:r w:rsidR="00A1260F">
        <w:t xml:space="preserve"> </w:t>
      </w:r>
      <w:r w:rsidR="00A252E7">
        <w:t xml:space="preserve">LLP, where he specializes in corporate and commercial law.  He previously served on the boards of directors at Boston Acoustics, Inc. and </w:t>
      </w:r>
      <w:proofErr w:type="spellStart"/>
      <w:r w:rsidR="00A252E7">
        <w:t>Moyco</w:t>
      </w:r>
      <w:proofErr w:type="spellEnd"/>
      <w:r w:rsidR="00A252E7">
        <w:t>, Inc.</w:t>
      </w:r>
    </w:p>
    <w:p w:rsidR="00D11E5A" w:rsidRDefault="00D11E5A" w:rsidP="000A3A0A">
      <w:r>
        <w:t xml:space="preserve">Wiley observed that, although the corporate director’s </w:t>
      </w:r>
      <w:r w:rsidR="002D7A6A">
        <w:t>basic job description</w:t>
      </w:r>
      <w:r>
        <w:t xml:space="preserve"> – protecting and enhancing the interests of shareholders – has not changed, the </w:t>
      </w:r>
      <w:r w:rsidR="002D7A6A">
        <w:t xml:space="preserve">complexity, breadth and timing of the tasks involved in executing </w:t>
      </w:r>
      <w:r>
        <w:t xml:space="preserve">the </w:t>
      </w:r>
      <w:r w:rsidR="002D7A6A">
        <w:t>fiduciary responsibilit</w:t>
      </w:r>
      <w:r>
        <w:t xml:space="preserve">ies of a director have made the job more challenging.  He reviewed the historic “tug of war” between </w:t>
      </w:r>
      <w:r w:rsidR="002D7A6A">
        <w:t>advocates for business laissez faire versus those who argue for tighter regulation</w:t>
      </w:r>
      <w:r>
        <w:t xml:space="preserve">, commenting that policymakers have a duty to step in when elements of the business community are failing to fulfill their governance responsibilities.  </w:t>
      </w:r>
    </w:p>
    <w:p w:rsidR="002D7A6A" w:rsidRDefault="00D11E5A" w:rsidP="000A3A0A">
      <w:r>
        <w:t>“</w:t>
      </w:r>
      <w:r w:rsidR="002D7A6A">
        <w:t>We all have a vested interest in the restoration of public confidence in the integrity, competitiveness and viability of our corporations</w:t>
      </w:r>
      <w:r>
        <w:t xml:space="preserve">,” Wiley observed.  Although restoring public confidence begins with required regulatory disclosures, he said, it extends to corporate directors’ ability to effectively establish a dialogue with shareholders.  At the highest level, </w:t>
      </w:r>
      <w:r w:rsidR="00F12033">
        <w:t xml:space="preserve">such </w:t>
      </w:r>
      <w:r>
        <w:t xml:space="preserve">dialogue can lead to a dissident shareholder’s better understanding the reasons for corporate decisions.  But he noted the cumulative importance of the routine contacts such as emails, letters and the </w:t>
      </w:r>
      <w:r w:rsidRPr="00956BF7">
        <w:t>occasional cocktail party conversations</w:t>
      </w:r>
      <w:r>
        <w:t xml:space="preserve"> that occur from time to time, as well.  Wiley emphasized the importance of understanding the limits of what can safely be disclosed under those circumstances while still adhering to the principle of transparency. </w:t>
      </w:r>
    </w:p>
    <w:p w:rsidR="003920B8" w:rsidRDefault="00D11E5A" w:rsidP="000A3A0A">
      <w:r>
        <w:t>Questions from moderator Wolff and the audience following the panel discussion focused on the following concerns:</w:t>
      </w:r>
      <w:r w:rsidR="003920B8">
        <w:t xml:space="preserve">  </w:t>
      </w:r>
    </w:p>
    <w:p w:rsidR="00D11E5A" w:rsidRDefault="00D11E5A" w:rsidP="00DD69AF">
      <w:pPr>
        <w:pStyle w:val="ListParagraph"/>
        <w:numPr>
          <w:ilvl w:val="0"/>
          <w:numId w:val="16"/>
        </w:numPr>
        <w:spacing w:after="120"/>
        <w:contextualSpacing w:val="0"/>
      </w:pPr>
      <w:r>
        <w:t xml:space="preserve">How can a director distinguish between facts that can be disclosed and those that can’t be disclosed when communicating with </w:t>
      </w:r>
      <w:r w:rsidR="00F12033">
        <w:t xml:space="preserve">an </w:t>
      </w:r>
      <w:r>
        <w:t>investor one-on-one?</w:t>
      </w:r>
    </w:p>
    <w:p w:rsidR="00DD69AF" w:rsidRDefault="00D74729" w:rsidP="00DD69AF">
      <w:pPr>
        <w:pStyle w:val="ListParagraph"/>
        <w:numPr>
          <w:ilvl w:val="0"/>
          <w:numId w:val="16"/>
        </w:numPr>
        <w:spacing w:after="120"/>
        <w:contextualSpacing w:val="0"/>
      </w:pPr>
      <w:r>
        <w:t>Wh</w:t>
      </w:r>
      <w:r w:rsidR="00D11E5A">
        <w:t xml:space="preserve">ich issues raised by activist or dissident shareholders should be handled by management, and which </w:t>
      </w:r>
      <w:r w:rsidR="00F12033">
        <w:t xml:space="preserve">issues </w:t>
      </w:r>
      <w:r w:rsidR="00D11E5A">
        <w:t>should be addressed by directors?</w:t>
      </w:r>
    </w:p>
    <w:p w:rsidR="00D11E5A" w:rsidRDefault="00D11E5A" w:rsidP="00DD69AF">
      <w:pPr>
        <w:pStyle w:val="ListParagraph"/>
        <w:numPr>
          <w:ilvl w:val="0"/>
          <w:numId w:val="16"/>
        </w:numPr>
        <w:spacing w:after="120"/>
        <w:contextualSpacing w:val="0"/>
      </w:pPr>
      <w:r>
        <w:t xml:space="preserve">Some activist shareholders are constructive in their approach while others are predators.  </w:t>
      </w:r>
      <w:r w:rsidR="00F12033">
        <w:t>How s</w:t>
      </w:r>
      <w:r>
        <w:t xml:space="preserve">hould the board’s communications differ in each case?  </w:t>
      </w:r>
    </w:p>
    <w:p w:rsidR="000F13A0" w:rsidRDefault="000F13A0" w:rsidP="00DD69AF">
      <w:pPr>
        <w:pStyle w:val="ListParagraph"/>
        <w:numPr>
          <w:ilvl w:val="0"/>
          <w:numId w:val="16"/>
        </w:numPr>
        <w:spacing w:after="120"/>
        <w:contextualSpacing w:val="0"/>
      </w:pPr>
      <w:r>
        <w:t xml:space="preserve">Now that discretionary broker voting has been eliminated, will retail investors have a greater influence on board decision-making?  </w:t>
      </w:r>
    </w:p>
    <w:p w:rsidR="000F13A0" w:rsidRDefault="000F13A0" w:rsidP="00DD69AF">
      <w:pPr>
        <w:pStyle w:val="ListParagraph"/>
        <w:numPr>
          <w:ilvl w:val="0"/>
          <w:numId w:val="16"/>
        </w:numPr>
        <w:spacing w:after="120"/>
        <w:contextualSpacing w:val="0"/>
      </w:pPr>
      <w:r>
        <w:t xml:space="preserve">How should the nature of an ongoing shareholder dialogue change when a board determines that the only prudent course of action is to defeat an activist shareholder proposal?  </w:t>
      </w:r>
    </w:p>
    <w:p w:rsidR="005B0BEC" w:rsidRPr="003F0267" w:rsidRDefault="000F13A0" w:rsidP="005B0BEC">
      <w:pPr>
        <w:spacing w:before="240"/>
      </w:pPr>
      <w:r>
        <w:t xml:space="preserve">NACD New England Chapter President </w:t>
      </w:r>
      <w:r w:rsidR="00F12033">
        <w:t xml:space="preserve">Bill </w:t>
      </w:r>
      <w:proofErr w:type="spellStart"/>
      <w:r w:rsidR="00F12033">
        <w:t>Earon</w:t>
      </w:r>
      <w:proofErr w:type="spellEnd"/>
      <w:r w:rsidR="00F12033">
        <w:t xml:space="preserve"> </w:t>
      </w:r>
      <w:r>
        <w:t>adjourned the November 9</w:t>
      </w:r>
      <w:r w:rsidRPr="000F13A0">
        <w:rPr>
          <w:vertAlign w:val="superscript"/>
        </w:rPr>
        <w:t>th</w:t>
      </w:r>
      <w:r>
        <w:t xml:space="preserve"> program with a reminder </w:t>
      </w:r>
      <w:r w:rsidR="005B0BEC">
        <w:t xml:space="preserve">about the next Breakfast Event on Tuesday, </w:t>
      </w:r>
      <w:r>
        <w:t xml:space="preserve">December 14, </w:t>
      </w:r>
      <w:r w:rsidR="005B0BEC">
        <w:t xml:space="preserve">2010:  </w:t>
      </w:r>
      <w:r w:rsidR="007B2BA2">
        <w:rPr>
          <w:i/>
        </w:rPr>
        <w:t>B</w:t>
      </w:r>
      <w:r>
        <w:rPr>
          <w:i/>
        </w:rPr>
        <w:t xml:space="preserve">eing Competitive:  The Role of the Board in Setting Strategy.  </w:t>
      </w:r>
      <w:r w:rsidR="005B0BEC">
        <w:t xml:space="preserve">The event will be held at the </w:t>
      </w:r>
      <w:proofErr w:type="spellStart"/>
      <w:r>
        <w:t>Langham</w:t>
      </w:r>
      <w:proofErr w:type="spellEnd"/>
      <w:r>
        <w:t xml:space="preserve"> Hotel in Boston.  </w:t>
      </w:r>
      <w:r w:rsidR="007B2BA2">
        <w:t xml:space="preserve">  </w:t>
      </w:r>
      <w:r w:rsidR="005B0BEC">
        <w:t xml:space="preserve">  </w:t>
      </w:r>
    </w:p>
    <w:sectPr w:rsidR="005B0BEC" w:rsidRPr="003F0267" w:rsidSect="003702CE">
      <w:footerReference w:type="default" r:id="rId8"/>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5D2" w:rsidRDefault="00B725D2" w:rsidP="003702CE">
      <w:pPr>
        <w:spacing w:after="0" w:line="240" w:lineRule="auto"/>
      </w:pPr>
      <w:r>
        <w:separator/>
      </w:r>
    </w:p>
  </w:endnote>
  <w:endnote w:type="continuationSeparator" w:id="0">
    <w:p w:rsidR="00B725D2" w:rsidRDefault="00B725D2" w:rsidP="00370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81204"/>
      <w:docPartObj>
        <w:docPartGallery w:val="Page Numbers (Bottom of Page)"/>
        <w:docPartUnique/>
      </w:docPartObj>
    </w:sdtPr>
    <w:sdtContent>
      <w:p w:rsidR="002D7A6A" w:rsidRDefault="00085659">
        <w:pPr>
          <w:pStyle w:val="Footer"/>
          <w:jc w:val="right"/>
        </w:pPr>
        <w:fldSimple w:instr=" PAGE   \* MERGEFORMAT ">
          <w:r w:rsidR="00602061">
            <w:rPr>
              <w:noProof/>
            </w:rPr>
            <w:t>3</w:t>
          </w:r>
        </w:fldSimple>
      </w:p>
    </w:sdtContent>
  </w:sdt>
  <w:p w:rsidR="00B725D2" w:rsidRDefault="00B725D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5D2" w:rsidRDefault="00B725D2" w:rsidP="003702CE">
      <w:pPr>
        <w:spacing w:after="0" w:line="240" w:lineRule="auto"/>
      </w:pPr>
      <w:r>
        <w:separator/>
      </w:r>
    </w:p>
  </w:footnote>
  <w:footnote w:type="continuationSeparator" w:id="0">
    <w:p w:rsidR="00B725D2" w:rsidRDefault="00B725D2" w:rsidP="003702CE">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B36"/>
    <w:multiLevelType w:val="hybridMultilevel"/>
    <w:tmpl w:val="7B04C538"/>
    <w:lvl w:ilvl="0" w:tplc="4C0E43A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465B9"/>
    <w:multiLevelType w:val="hybridMultilevel"/>
    <w:tmpl w:val="3AAE6F1A"/>
    <w:lvl w:ilvl="0" w:tplc="9C5AB59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AC51EF"/>
    <w:multiLevelType w:val="hybridMultilevel"/>
    <w:tmpl w:val="15F0F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1939D3"/>
    <w:multiLevelType w:val="hybridMultilevel"/>
    <w:tmpl w:val="0162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76FE2"/>
    <w:multiLevelType w:val="hybridMultilevel"/>
    <w:tmpl w:val="1042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E0E28"/>
    <w:multiLevelType w:val="hybridMultilevel"/>
    <w:tmpl w:val="6FC2F60E"/>
    <w:lvl w:ilvl="0" w:tplc="F6FCC7B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32C48"/>
    <w:multiLevelType w:val="hybridMultilevel"/>
    <w:tmpl w:val="E362C6FC"/>
    <w:lvl w:ilvl="0" w:tplc="9C5AB59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DC3EA4"/>
    <w:multiLevelType w:val="hybridMultilevel"/>
    <w:tmpl w:val="A2AA0236"/>
    <w:lvl w:ilvl="0" w:tplc="3D00B3D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351ADF"/>
    <w:multiLevelType w:val="hybridMultilevel"/>
    <w:tmpl w:val="35C8B596"/>
    <w:lvl w:ilvl="0" w:tplc="4C0E43A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81281"/>
    <w:multiLevelType w:val="hybridMultilevel"/>
    <w:tmpl w:val="C9B23C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6F4AC3"/>
    <w:multiLevelType w:val="hybridMultilevel"/>
    <w:tmpl w:val="99B405E6"/>
    <w:lvl w:ilvl="0" w:tplc="41F01D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285A60"/>
    <w:multiLevelType w:val="hybridMultilevel"/>
    <w:tmpl w:val="FB5C9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441B60"/>
    <w:multiLevelType w:val="hybridMultilevel"/>
    <w:tmpl w:val="DF50B6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30954"/>
    <w:multiLevelType w:val="hybridMultilevel"/>
    <w:tmpl w:val="2340B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CD7B23"/>
    <w:multiLevelType w:val="hybridMultilevel"/>
    <w:tmpl w:val="79786B66"/>
    <w:lvl w:ilvl="0" w:tplc="554A826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F61370"/>
    <w:multiLevelType w:val="hybridMultilevel"/>
    <w:tmpl w:val="E2F2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6237E4"/>
    <w:multiLevelType w:val="hybridMultilevel"/>
    <w:tmpl w:val="BEE6F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5542B6"/>
    <w:multiLevelType w:val="hybridMultilevel"/>
    <w:tmpl w:val="BDC01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C19FD"/>
    <w:multiLevelType w:val="hybridMultilevel"/>
    <w:tmpl w:val="70F2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8D61F8"/>
    <w:multiLevelType w:val="hybridMultilevel"/>
    <w:tmpl w:val="85E40308"/>
    <w:lvl w:ilvl="0" w:tplc="4B8E1E7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5"/>
  </w:num>
  <w:num w:numId="4">
    <w:abstractNumId w:val="16"/>
  </w:num>
  <w:num w:numId="5">
    <w:abstractNumId w:val="18"/>
  </w:num>
  <w:num w:numId="6">
    <w:abstractNumId w:val="4"/>
  </w:num>
  <w:num w:numId="7">
    <w:abstractNumId w:val="11"/>
  </w:num>
  <w:num w:numId="8">
    <w:abstractNumId w:val="7"/>
  </w:num>
  <w:num w:numId="9">
    <w:abstractNumId w:val="10"/>
  </w:num>
  <w:num w:numId="10">
    <w:abstractNumId w:val="19"/>
  </w:num>
  <w:num w:numId="11">
    <w:abstractNumId w:val="5"/>
  </w:num>
  <w:num w:numId="12">
    <w:abstractNumId w:val="17"/>
  </w:num>
  <w:num w:numId="13">
    <w:abstractNumId w:val="12"/>
  </w:num>
  <w:num w:numId="14">
    <w:abstractNumId w:val="3"/>
  </w:num>
  <w:num w:numId="15">
    <w:abstractNumId w:val="14"/>
  </w:num>
  <w:num w:numId="16">
    <w:abstractNumId w:val="2"/>
  </w:num>
  <w:num w:numId="17">
    <w:abstractNumId w:val="8"/>
  </w:num>
  <w:num w:numId="18">
    <w:abstractNumId w:val="0"/>
  </w:num>
  <w:num w:numId="19">
    <w:abstractNumId w:val="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0267"/>
    <w:rsid w:val="000004B2"/>
    <w:rsid w:val="00012442"/>
    <w:rsid w:val="00013099"/>
    <w:rsid w:val="00072E65"/>
    <w:rsid w:val="00084FE7"/>
    <w:rsid w:val="00085659"/>
    <w:rsid w:val="000A05E2"/>
    <w:rsid w:val="000A102A"/>
    <w:rsid w:val="000A3A0A"/>
    <w:rsid w:val="000B0CA3"/>
    <w:rsid w:val="000B192A"/>
    <w:rsid w:val="000C2492"/>
    <w:rsid w:val="000E4AF0"/>
    <w:rsid w:val="000E5FF6"/>
    <w:rsid w:val="000F13A0"/>
    <w:rsid w:val="00131B2C"/>
    <w:rsid w:val="00132064"/>
    <w:rsid w:val="001D6ABA"/>
    <w:rsid w:val="001E2954"/>
    <w:rsid w:val="00205C55"/>
    <w:rsid w:val="00240BFF"/>
    <w:rsid w:val="00247A88"/>
    <w:rsid w:val="00250B49"/>
    <w:rsid w:val="00253C4F"/>
    <w:rsid w:val="00284534"/>
    <w:rsid w:val="0029530E"/>
    <w:rsid w:val="002A0F46"/>
    <w:rsid w:val="002B6DD6"/>
    <w:rsid w:val="002D73C6"/>
    <w:rsid w:val="002D7A6A"/>
    <w:rsid w:val="002E1E44"/>
    <w:rsid w:val="002F24FC"/>
    <w:rsid w:val="002F38C5"/>
    <w:rsid w:val="00300C6E"/>
    <w:rsid w:val="00307B6B"/>
    <w:rsid w:val="00330703"/>
    <w:rsid w:val="00341553"/>
    <w:rsid w:val="0034784A"/>
    <w:rsid w:val="003702CE"/>
    <w:rsid w:val="00370968"/>
    <w:rsid w:val="00383C72"/>
    <w:rsid w:val="00386265"/>
    <w:rsid w:val="003920B8"/>
    <w:rsid w:val="003B0A2B"/>
    <w:rsid w:val="003D2054"/>
    <w:rsid w:val="003D23E7"/>
    <w:rsid w:val="003E2854"/>
    <w:rsid w:val="003E5159"/>
    <w:rsid w:val="003E5456"/>
    <w:rsid w:val="003F0267"/>
    <w:rsid w:val="003F11DE"/>
    <w:rsid w:val="0040694D"/>
    <w:rsid w:val="00412852"/>
    <w:rsid w:val="00433E74"/>
    <w:rsid w:val="004346FC"/>
    <w:rsid w:val="004522E2"/>
    <w:rsid w:val="00466262"/>
    <w:rsid w:val="00486C1B"/>
    <w:rsid w:val="004A2242"/>
    <w:rsid w:val="004B49A0"/>
    <w:rsid w:val="004F0C7D"/>
    <w:rsid w:val="00504DB9"/>
    <w:rsid w:val="00527D7F"/>
    <w:rsid w:val="00544A52"/>
    <w:rsid w:val="0055559F"/>
    <w:rsid w:val="00556FF9"/>
    <w:rsid w:val="00590A91"/>
    <w:rsid w:val="0059233E"/>
    <w:rsid w:val="00593338"/>
    <w:rsid w:val="005B0A71"/>
    <w:rsid w:val="005B0BEC"/>
    <w:rsid w:val="005D2C42"/>
    <w:rsid w:val="005E36F1"/>
    <w:rsid w:val="005F4823"/>
    <w:rsid w:val="0060032E"/>
    <w:rsid w:val="00602061"/>
    <w:rsid w:val="00604AB4"/>
    <w:rsid w:val="0060568F"/>
    <w:rsid w:val="00606554"/>
    <w:rsid w:val="006562C6"/>
    <w:rsid w:val="006579DA"/>
    <w:rsid w:val="00660ACF"/>
    <w:rsid w:val="006807E2"/>
    <w:rsid w:val="00680D73"/>
    <w:rsid w:val="00681F54"/>
    <w:rsid w:val="00683126"/>
    <w:rsid w:val="00685EC3"/>
    <w:rsid w:val="00691B39"/>
    <w:rsid w:val="00693C69"/>
    <w:rsid w:val="006A51FA"/>
    <w:rsid w:val="006B5FF3"/>
    <w:rsid w:val="006C00FC"/>
    <w:rsid w:val="006E156B"/>
    <w:rsid w:val="007263AF"/>
    <w:rsid w:val="007303FC"/>
    <w:rsid w:val="00734070"/>
    <w:rsid w:val="00770791"/>
    <w:rsid w:val="00783682"/>
    <w:rsid w:val="00783989"/>
    <w:rsid w:val="00790292"/>
    <w:rsid w:val="007B1FE4"/>
    <w:rsid w:val="007B2BA2"/>
    <w:rsid w:val="007C1F56"/>
    <w:rsid w:val="007E2314"/>
    <w:rsid w:val="007E6718"/>
    <w:rsid w:val="0080114C"/>
    <w:rsid w:val="00801498"/>
    <w:rsid w:val="0081043F"/>
    <w:rsid w:val="008105AE"/>
    <w:rsid w:val="00837971"/>
    <w:rsid w:val="00843342"/>
    <w:rsid w:val="00850459"/>
    <w:rsid w:val="008517C9"/>
    <w:rsid w:val="008656A5"/>
    <w:rsid w:val="00875F89"/>
    <w:rsid w:val="00887D8A"/>
    <w:rsid w:val="008A1E76"/>
    <w:rsid w:val="008A438C"/>
    <w:rsid w:val="008A5B13"/>
    <w:rsid w:val="008B69D1"/>
    <w:rsid w:val="008C2866"/>
    <w:rsid w:val="008C7332"/>
    <w:rsid w:val="008D63BA"/>
    <w:rsid w:val="008E2E97"/>
    <w:rsid w:val="008F7824"/>
    <w:rsid w:val="00902F97"/>
    <w:rsid w:val="00904C20"/>
    <w:rsid w:val="009064C3"/>
    <w:rsid w:val="00926456"/>
    <w:rsid w:val="00956BF7"/>
    <w:rsid w:val="009743BF"/>
    <w:rsid w:val="00984879"/>
    <w:rsid w:val="009933AD"/>
    <w:rsid w:val="009A1FFE"/>
    <w:rsid w:val="009C37EE"/>
    <w:rsid w:val="009E0219"/>
    <w:rsid w:val="009F3232"/>
    <w:rsid w:val="009F3ACF"/>
    <w:rsid w:val="00A035E3"/>
    <w:rsid w:val="00A05BC9"/>
    <w:rsid w:val="00A1260F"/>
    <w:rsid w:val="00A22A72"/>
    <w:rsid w:val="00A252E7"/>
    <w:rsid w:val="00A53715"/>
    <w:rsid w:val="00A80600"/>
    <w:rsid w:val="00A8645E"/>
    <w:rsid w:val="00A92FB1"/>
    <w:rsid w:val="00A930E9"/>
    <w:rsid w:val="00A97B50"/>
    <w:rsid w:val="00AC13E9"/>
    <w:rsid w:val="00AD73D6"/>
    <w:rsid w:val="00AE5494"/>
    <w:rsid w:val="00AF34A7"/>
    <w:rsid w:val="00AF62E9"/>
    <w:rsid w:val="00AF637E"/>
    <w:rsid w:val="00B22916"/>
    <w:rsid w:val="00B23812"/>
    <w:rsid w:val="00B2514C"/>
    <w:rsid w:val="00B537C9"/>
    <w:rsid w:val="00B725D2"/>
    <w:rsid w:val="00BA062A"/>
    <w:rsid w:val="00BC2E7F"/>
    <w:rsid w:val="00BD10E1"/>
    <w:rsid w:val="00BE036B"/>
    <w:rsid w:val="00BF49D0"/>
    <w:rsid w:val="00C00198"/>
    <w:rsid w:val="00C0722E"/>
    <w:rsid w:val="00C14FCA"/>
    <w:rsid w:val="00C20394"/>
    <w:rsid w:val="00C24DD9"/>
    <w:rsid w:val="00C35E09"/>
    <w:rsid w:val="00C51C70"/>
    <w:rsid w:val="00C85E9F"/>
    <w:rsid w:val="00C915CB"/>
    <w:rsid w:val="00CA0264"/>
    <w:rsid w:val="00CA13D8"/>
    <w:rsid w:val="00CA1C74"/>
    <w:rsid w:val="00CB30FA"/>
    <w:rsid w:val="00CD579D"/>
    <w:rsid w:val="00CD5AC6"/>
    <w:rsid w:val="00CE1167"/>
    <w:rsid w:val="00CF1FC9"/>
    <w:rsid w:val="00D11E5A"/>
    <w:rsid w:val="00D13495"/>
    <w:rsid w:val="00D173EB"/>
    <w:rsid w:val="00D25816"/>
    <w:rsid w:val="00D35DF4"/>
    <w:rsid w:val="00D54CD9"/>
    <w:rsid w:val="00D57840"/>
    <w:rsid w:val="00D705A3"/>
    <w:rsid w:val="00D74729"/>
    <w:rsid w:val="00D877DF"/>
    <w:rsid w:val="00DA602A"/>
    <w:rsid w:val="00DD4989"/>
    <w:rsid w:val="00DD69AF"/>
    <w:rsid w:val="00DE3045"/>
    <w:rsid w:val="00E01B08"/>
    <w:rsid w:val="00E022F0"/>
    <w:rsid w:val="00E02C1B"/>
    <w:rsid w:val="00E04941"/>
    <w:rsid w:val="00E065F0"/>
    <w:rsid w:val="00E17445"/>
    <w:rsid w:val="00E21AEE"/>
    <w:rsid w:val="00E303CB"/>
    <w:rsid w:val="00E33BE5"/>
    <w:rsid w:val="00E36F91"/>
    <w:rsid w:val="00E67D69"/>
    <w:rsid w:val="00E71F6A"/>
    <w:rsid w:val="00E74B2F"/>
    <w:rsid w:val="00E7724A"/>
    <w:rsid w:val="00E778DF"/>
    <w:rsid w:val="00E838AF"/>
    <w:rsid w:val="00EA38F1"/>
    <w:rsid w:val="00EB6518"/>
    <w:rsid w:val="00F016DB"/>
    <w:rsid w:val="00F10589"/>
    <w:rsid w:val="00F12033"/>
    <w:rsid w:val="00F244B5"/>
    <w:rsid w:val="00F24DEC"/>
    <w:rsid w:val="00F34684"/>
    <w:rsid w:val="00F441AA"/>
    <w:rsid w:val="00F558BE"/>
    <w:rsid w:val="00F67142"/>
    <w:rsid w:val="00F67A51"/>
    <w:rsid w:val="00F77EF5"/>
    <w:rsid w:val="00F824AC"/>
    <w:rsid w:val="00F86734"/>
    <w:rsid w:val="00FA332A"/>
    <w:rsid w:val="00FC2492"/>
    <w:rsid w:val="00FE014E"/>
    <w:rsid w:val="00FF08C8"/>
    <w:rsid w:val="00FF1435"/>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320" w:lineRule="exac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3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A0264"/>
    <w:pPr>
      <w:ind w:left="720"/>
      <w:contextualSpacing/>
    </w:pPr>
  </w:style>
  <w:style w:type="paragraph" w:styleId="Header">
    <w:name w:val="header"/>
    <w:basedOn w:val="Normal"/>
    <w:link w:val="HeaderChar"/>
    <w:uiPriority w:val="99"/>
    <w:semiHidden/>
    <w:unhideWhenUsed/>
    <w:rsid w:val="003702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2CE"/>
  </w:style>
  <w:style w:type="paragraph" w:styleId="Footer">
    <w:name w:val="footer"/>
    <w:basedOn w:val="Normal"/>
    <w:link w:val="FooterChar"/>
    <w:uiPriority w:val="99"/>
    <w:unhideWhenUsed/>
    <w:rsid w:val="00370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CE"/>
  </w:style>
  <w:style w:type="character" w:styleId="Hyperlink">
    <w:name w:val="Hyperlink"/>
    <w:basedOn w:val="DefaultParagraphFont"/>
    <w:uiPriority w:val="99"/>
    <w:unhideWhenUsed/>
    <w:rsid w:val="0081043F"/>
    <w:rPr>
      <w:color w:val="0000FF" w:themeColor="hyperlink"/>
      <w:u w:val="single"/>
    </w:rPr>
  </w:style>
  <w:style w:type="character" w:styleId="FollowedHyperlink">
    <w:name w:val="FollowedHyperlink"/>
    <w:basedOn w:val="DefaultParagraphFont"/>
    <w:uiPriority w:val="99"/>
    <w:semiHidden/>
    <w:unhideWhenUsed/>
    <w:rsid w:val="0081043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5321668">
      <w:bodyDiv w:val="1"/>
      <w:marLeft w:val="0"/>
      <w:marRight w:val="0"/>
      <w:marTop w:val="0"/>
      <w:marBottom w:val="0"/>
      <w:divBdr>
        <w:top w:val="none" w:sz="0" w:space="0" w:color="auto"/>
        <w:left w:val="none" w:sz="0" w:space="0" w:color="auto"/>
        <w:bottom w:val="none" w:sz="0" w:space="0" w:color="auto"/>
        <w:right w:val="none" w:sz="0" w:space="0" w:color="auto"/>
      </w:divBdr>
      <w:divsChild>
        <w:div w:id="2108425837">
          <w:marLeft w:val="0"/>
          <w:marRight w:val="0"/>
          <w:marTop w:val="0"/>
          <w:marBottom w:val="0"/>
          <w:divBdr>
            <w:top w:val="none" w:sz="0" w:space="0" w:color="auto"/>
            <w:left w:val="none" w:sz="0" w:space="0" w:color="auto"/>
            <w:bottom w:val="none" w:sz="0" w:space="0" w:color="auto"/>
            <w:right w:val="none" w:sz="0" w:space="0" w:color="auto"/>
          </w:divBdr>
          <w:divsChild>
            <w:div w:id="456802398">
              <w:marLeft w:val="0"/>
              <w:marRight w:val="0"/>
              <w:marTop w:val="0"/>
              <w:marBottom w:val="0"/>
              <w:divBdr>
                <w:top w:val="none" w:sz="0" w:space="0" w:color="auto"/>
                <w:left w:val="none" w:sz="0" w:space="0" w:color="auto"/>
                <w:bottom w:val="none" w:sz="0" w:space="0" w:color="auto"/>
                <w:right w:val="none" w:sz="0" w:space="0" w:color="auto"/>
              </w:divBdr>
              <w:divsChild>
                <w:div w:id="214510816">
                  <w:marLeft w:val="0"/>
                  <w:marRight w:val="0"/>
                  <w:marTop w:val="0"/>
                  <w:marBottom w:val="0"/>
                  <w:divBdr>
                    <w:top w:val="none" w:sz="0" w:space="0" w:color="auto"/>
                    <w:left w:val="none" w:sz="0" w:space="0" w:color="auto"/>
                    <w:bottom w:val="none" w:sz="0" w:space="0" w:color="auto"/>
                    <w:right w:val="none" w:sz="0" w:space="0" w:color="auto"/>
                  </w:divBdr>
                  <w:divsChild>
                    <w:div w:id="20888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09044">
      <w:bodyDiv w:val="1"/>
      <w:marLeft w:val="0"/>
      <w:marRight w:val="0"/>
      <w:marTop w:val="0"/>
      <w:marBottom w:val="0"/>
      <w:divBdr>
        <w:top w:val="none" w:sz="0" w:space="0" w:color="auto"/>
        <w:left w:val="none" w:sz="0" w:space="0" w:color="auto"/>
        <w:bottom w:val="none" w:sz="0" w:space="0" w:color="auto"/>
        <w:right w:val="none" w:sz="0" w:space="0" w:color="auto"/>
      </w:divBdr>
      <w:divsChild>
        <w:div w:id="1049066185">
          <w:marLeft w:val="0"/>
          <w:marRight w:val="0"/>
          <w:marTop w:val="0"/>
          <w:marBottom w:val="0"/>
          <w:divBdr>
            <w:top w:val="none" w:sz="0" w:space="0" w:color="auto"/>
            <w:left w:val="none" w:sz="0" w:space="0" w:color="auto"/>
            <w:bottom w:val="none" w:sz="0" w:space="0" w:color="auto"/>
            <w:right w:val="none" w:sz="0" w:space="0" w:color="auto"/>
          </w:divBdr>
          <w:divsChild>
            <w:div w:id="1929457055">
              <w:marLeft w:val="0"/>
              <w:marRight w:val="0"/>
              <w:marTop w:val="0"/>
              <w:marBottom w:val="0"/>
              <w:divBdr>
                <w:top w:val="none" w:sz="0" w:space="0" w:color="auto"/>
                <w:left w:val="none" w:sz="0" w:space="0" w:color="auto"/>
                <w:bottom w:val="none" w:sz="0" w:space="0" w:color="auto"/>
                <w:right w:val="none" w:sz="0" w:space="0" w:color="auto"/>
              </w:divBdr>
              <w:divsChild>
                <w:div w:id="1708213839">
                  <w:marLeft w:val="0"/>
                  <w:marRight w:val="0"/>
                  <w:marTop w:val="0"/>
                  <w:marBottom w:val="0"/>
                  <w:divBdr>
                    <w:top w:val="none" w:sz="0" w:space="0" w:color="auto"/>
                    <w:left w:val="none" w:sz="0" w:space="0" w:color="auto"/>
                    <w:bottom w:val="none" w:sz="0" w:space="0" w:color="auto"/>
                    <w:right w:val="none" w:sz="0" w:space="0" w:color="auto"/>
                  </w:divBdr>
                  <w:divsChild>
                    <w:div w:id="19126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234085">
      <w:bodyDiv w:val="1"/>
      <w:marLeft w:val="0"/>
      <w:marRight w:val="0"/>
      <w:marTop w:val="0"/>
      <w:marBottom w:val="0"/>
      <w:divBdr>
        <w:top w:val="none" w:sz="0" w:space="0" w:color="auto"/>
        <w:left w:val="none" w:sz="0" w:space="0" w:color="auto"/>
        <w:bottom w:val="none" w:sz="0" w:space="0" w:color="auto"/>
        <w:right w:val="none" w:sz="0" w:space="0" w:color="auto"/>
      </w:divBdr>
      <w:divsChild>
        <w:div w:id="591158627">
          <w:marLeft w:val="0"/>
          <w:marRight w:val="0"/>
          <w:marTop w:val="0"/>
          <w:marBottom w:val="0"/>
          <w:divBdr>
            <w:top w:val="none" w:sz="0" w:space="0" w:color="auto"/>
            <w:left w:val="none" w:sz="0" w:space="0" w:color="auto"/>
            <w:bottom w:val="none" w:sz="0" w:space="0" w:color="auto"/>
            <w:right w:val="none" w:sz="0" w:space="0" w:color="auto"/>
          </w:divBdr>
          <w:divsChild>
            <w:div w:id="1203598422">
              <w:marLeft w:val="0"/>
              <w:marRight w:val="0"/>
              <w:marTop w:val="0"/>
              <w:marBottom w:val="0"/>
              <w:divBdr>
                <w:top w:val="none" w:sz="0" w:space="0" w:color="auto"/>
                <w:left w:val="none" w:sz="0" w:space="0" w:color="auto"/>
                <w:bottom w:val="none" w:sz="0" w:space="0" w:color="auto"/>
                <w:right w:val="none" w:sz="0" w:space="0" w:color="auto"/>
              </w:divBdr>
              <w:divsChild>
                <w:div w:id="601299895">
                  <w:marLeft w:val="0"/>
                  <w:marRight w:val="0"/>
                  <w:marTop w:val="0"/>
                  <w:marBottom w:val="0"/>
                  <w:divBdr>
                    <w:top w:val="none" w:sz="0" w:space="0" w:color="auto"/>
                    <w:left w:val="none" w:sz="0" w:space="0" w:color="auto"/>
                    <w:bottom w:val="none" w:sz="0" w:space="0" w:color="auto"/>
                    <w:right w:val="none" w:sz="0" w:space="0" w:color="auto"/>
                  </w:divBdr>
                  <w:divsChild>
                    <w:div w:id="1238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5CE98-8262-3A44-A9E9-FE17FF96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8685</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NACDNE 051810 Summary</vt:lpstr>
    </vt:vector>
  </TitlesOfParts>
  <Company>SMA</Company>
  <LinksUpToDate>false</LinksUpToDate>
  <CharactersWithSpaces>10665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NACDNE 051810 Summary</dc:title>
  <dc:subject/>
  <dc:creator>SMA</dc:creator>
  <cp:keywords/>
  <dc:description/>
  <cp:lastModifiedBy>Julie Conroy</cp:lastModifiedBy>
  <cp:revision>2</cp:revision>
  <cp:lastPrinted>2010-11-12T21:11:00Z</cp:lastPrinted>
  <dcterms:created xsi:type="dcterms:W3CDTF">2010-11-17T20:45:00Z</dcterms:created>
  <dcterms:modified xsi:type="dcterms:W3CDTF">2010-11-17T20:45:00Z</dcterms:modified>
</cp:coreProperties>
</file>